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000000"/>
          <w:sz w:val="22"/>
          <w:szCs w:val="22"/>
          <w:shd w:val="clear" w:color="auto" w:fill="FFFFFF"/>
        </w:rPr>
        <w:t xml:space="preserve">The coming-of-age novels explored this </w:t>
      </w:r>
      <w:proofErr w:type="spellStart"/>
      <w:r w:rsidRPr="002F7828">
        <w:rPr>
          <w:rFonts w:ascii="Arial" w:eastAsia="Times New Roman" w:hAnsi="Arial" w:cs="Arial"/>
          <w:color w:val="000000"/>
          <w:sz w:val="22"/>
          <w:szCs w:val="22"/>
          <w:shd w:val="clear" w:color="auto" w:fill="FFFFFF"/>
        </w:rPr>
        <w:t>semster</w:t>
      </w:r>
      <w:proofErr w:type="spellEnd"/>
      <w:r w:rsidRPr="002F7828">
        <w:rPr>
          <w:rFonts w:ascii="Arial" w:eastAsia="Times New Roman" w:hAnsi="Arial" w:cs="Arial"/>
          <w:color w:val="000000"/>
          <w:sz w:val="22"/>
          <w:szCs w:val="22"/>
          <w:shd w:val="clear" w:color="auto" w:fill="FFFFFF"/>
        </w:rPr>
        <w:t xml:space="preserve"> represent works that include common representations of identity despite intersecting race, class, gender, and sexuality. </w:t>
      </w:r>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000000"/>
          <w:sz w:val="22"/>
          <w:szCs w:val="22"/>
          <w:shd w:val="clear" w:color="auto" w:fill="FFFFFF"/>
        </w:rPr>
        <w:t xml:space="preserve">Task: </w:t>
      </w:r>
      <w:r w:rsidRPr="002F7828">
        <w:rPr>
          <w:rFonts w:ascii="Arial" w:eastAsia="Times New Roman" w:hAnsi="Arial" w:cs="Arial"/>
          <w:b/>
          <w:bCs/>
          <w:color w:val="000000"/>
          <w:sz w:val="22"/>
          <w:szCs w:val="22"/>
          <w:shd w:val="clear" w:color="auto" w:fill="FFFFFF"/>
        </w:rPr>
        <w:t>Formulate a thesis that addresses how the protagonists hold onto their unique identities in the face of adversity.  </w:t>
      </w:r>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333333"/>
          <w:sz w:val="22"/>
          <w:szCs w:val="22"/>
          <w:shd w:val="clear" w:color="auto" w:fill="FFFFFF"/>
        </w:rPr>
        <w:t xml:space="preserve">Seek depth over breadth when forming your argument. </w:t>
      </w:r>
      <w:r w:rsidRPr="002F7828">
        <w:rPr>
          <w:rFonts w:ascii="Arial" w:eastAsia="Times New Roman" w:hAnsi="Arial" w:cs="Arial"/>
          <w:color w:val="333333"/>
          <w:sz w:val="22"/>
          <w:szCs w:val="22"/>
        </w:rPr>
        <w:t>The most important thing is your thoughtful, original argument. A well-crafted argument can be presented in any number of forms, but you must have something you are trying to prove, to say about the books or poems we’ve read. That argument must be specific, original, impassioned and well defended. No late papers will be accepted, nor will late development work be accepted for credit. The deadlines for all papers and development work are:</w:t>
      </w:r>
    </w:p>
    <w:p w:rsidR="002F7828" w:rsidRPr="002F7828" w:rsidRDefault="002F7828" w:rsidP="002F7828">
      <w:pPr>
        <w:shd w:val="clear" w:color="auto" w:fill="FFFFFF"/>
        <w:rPr>
          <w:rFonts w:ascii="Times New Roman" w:eastAsia="Times New Roman" w:hAnsi="Times New Roman" w:cs="Times New Roman"/>
        </w:rPr>
      </w:pPr>
      <w:r w:rsidRPr="002F7828">
        <w:rPr>
          <w:rFonts w:ascii="Arial" w:eastAsia="Times New Roman" w:hAnsi="Arial" w:cs="Arial"/>
          <w:color w:val="333333"/>
          <w:sz w:val="22"/>
          <w:szCs w:val="22"/>
        </w:rPr>
        <w:t xml:space="preserve"> </w:t>
      </w:r>
      <w:bookmarkStart w:id="0" w:name="_GoBack"/>
      <w:bookmarkEnd w:id="0"/>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333333"/>
          <w:sz w:val="22"/>
          <w:szCs w:val="22"/>
        </w:rPr>
        <w:t xml:space="preserve">Use examples from at least three of the novels from the course in a </w:t>
      </w:r>
      <w:proofErr w:type="gramStart"/>
      <w:r w:rsidRPr="002F7828">
        <w:rPr>
          <w:rFonts w:ascii="Arial" w:eastAsia="Times New Roman" w:hAnsi="Arial" w:cs="Arial"/>
          <w:color w:val="333333"/>
          <w:sz w:val="22"/>
          <w:szCs w:val="22"/>
        </w:rPr>
        <w:t>6-8 page</w:t>
      </w:r>
      <w:proofErr w:type="gramEnd"/>
      <w:r w:rsidRPr="002F7828">
        <w:rPr>
          <w:rFonts w:ascii="Arial" w:eastAsia="Times New Roman" w:hAnsi="Arial" w:cs="Arial"/>
          <w:color w:val="333333"/>
          <w:sz w:val="22"/>
          <w:szCs w:val="22"/>
        </w:rPr>
        <w:t xml:space="preserve"> paper. Be sure to reference at least one of the last two novels read in the course, </w:t>
      </w:r>
      <w:r w:rsidRPr="002F7828">
        <w:rPr>
          <w:rFonts w:ascii="Arial" w:eastAsia="Times New Roman" w:hAnsi="Arial" w:cs="Arial"/>
          <w:i/>
          <w:iCs/>
          <w:color w:val="333333"/>
          <w:sz w:val="22"/>
          <w:szCs w:val="22"/>
        </w:rPr>
        <w:t xml:space="preserve">The Absolutely True Diary of a Part Time Indian </w:t>
      </w:r>
      <w:r w:rsidRPr="002F7828">
        <w:rPr>
          <w:rFonts w:ascii="Arial" w:eastAsia="Times New Roman" w:hAnsi="Arial" w:cs="Arial"/>
          <w:color w:val="333333"/>
          <w:sz w:val="22"/>
          <w:szCs w:val="22"/>
        </w:rPr>
        <w:t xml:space="preserve">and </w:t>
      </w:r>
      <w:r w:rsidRPr="002F7828">
        <w:rPr>
          <w:rFonts w:ascii="Arial" w:eastAsia="Times New Roman" w:hAnsi="Arial" w:cs="Arial"/>
          <w:i/>
          <w:iCs/>
          <w:color w:val="333333"/>
          <w:sz w:val="22"/>
          <w:szCs w:val="22"/>
        </w:rPr>
        <w:t>The Power.  </w:t>
      </w:r>
      <w:r w:rsidRPr="002F7828">
        <w:rPr>
          <w:rFonts w:ascii="Arial" w:eastAsia="Times New Roman" w:hAnsi="Arial" w:cs="Arial"/>
          <w:color w:val="333333"/>
          <w:sz w:val="22"/>
          <w:szCs w:val="22"/>
        </w:rPr>
        <w:t xml:space="preserve">Use a minimum of four outside sources from the RMU library database. </w:t>
      </w:r>
    </w:p>
    <w:p w:rsidR="002F7828" w:rsidRPr="002F7828" w:rsidRDefault="002F7828" w:rsidP="002F7828">
      <w:pPr>
        <w:shd w:val="clear" w:color="auto" w:fill="FFFFFF"/>
        <w:rPr>
          <w:rFonts w:ascii="Times New Roman" w:eastAsia="Times New Roman" w:hAnsi="Times New Roman" w:cs="Times New Roman"/>
        </w:rPr>
      </w:pPr>
      <w:r w:rsidRPr="002F7828">
        <w:rPr>
          <w:rFonts w:ascii="Arial" w:eastAsia="Times New Roman" w:hAnsi="Arial" w:cs="Arial"/>
          <w:b/>
          <w:bCs/>
          <w:color w:val="333333"/>
          <w:sz w:val="22"/>
          <w:szCs w:val="22"/>
          <w:shd w:val="clear" w:color="auto" w:fill="FFFFFF"/>
        </w:rPr>
        <w:t xml:space="preserve">Research: </w:t>
      </w:r>
      <w:r w:rsidRPr="002F7828">
        <w:rPr>
          <w:rFonts w:ascii="Arial" w:eastAsia="Times New Roman" w:hAnsi="Arial" w:cs="Arial"/>
          <w:color w:val="333333"/>
          <w:sz w:val="22"/>
          <w:szCs w:val="22"/>
          <w:shd w:val="clear" w:color="auto" w:fill="FFFFFF"/>
        </w:rPr>
        <w:t>A research paper allows for broader reading in any number of areas, including but not limited to American history, critical theory, philosophy, popular culture (including film, TV, art and music), and literary criticism.</w:t>
      </w:r>
    </w:p>
    <w:p w:rsidR="002F7828" w:rsidRPr="002F7828" w:rsidRDefault="002F7828" w:rsidP="002F7828">
      <w:pPr>
        <w:shd w:val="clear" w:color="auto" w:fill="FFFFFF"/>
        <w:rPr>
          <w:rFonts w:ascii="Times New Roman" w:eastAsia="Times New Roman" w:hAnsi="Times New Roman" w:cs="Times New Roman"/>
        </w:rPr>
      </w:pPr>
      <w:r w:rsidRPr="002F7828">
        <w:rPr>
          <w:rFonts w:ascii="Arial" w:eastAsia="Times New Roman" w:hAnsi="Arial" w:cs="Arial"/>
          <w:color w:val="333333"/>
          <w:sz w:val="22"/>
          <w:szCs w:val="22"/>
          <w:shd w:val="clear" w:color="auto" w:fill="FFFFFF"/>
        </w:rPr>
        <w:t xml:space="preserve"> </w:t>
      </w:r>
    </w:p>
    <w:p w:rsidR="002F7828" w:rsidRPr="002F7828" w:rsidRDefault="002F7828" w:rsidP="002F7828">
      <w:pPr>
        <w:shd w:val="clear" w:color="auto" w:fill="FFFFFF"/>
        <w:rPr>
          <w:rFonts w:ascii="Times New Roman" w:eastAsia="Times New Roman" w:hAnsi="Times New Roman" w:cs="Times New Roman"/>
        </w:rPr>
      </w:pPr>
      <w:r w:rsidRPr="002F7828">
        <w:rPr>
          <w:rFonts w:ascii="Arial" w:eastAsia="Times New Roman" w:hAnsi="Arial" w:cs="Arial"/>
          <w:color w:val="333333"/>
          <w:sz w:val="22"/>
          <w:szCs w:val="22"/>
          <w:shd w:val="clear" w:color="auto" w:fill="FFFFFF"/>
        </w:rPr>
        <w:t>Requirements:</w:t>
      </w:r>
    </w:p>
    <w:p w:rsidR="002F7828" w:rsidRPr="002F7828" w:rsidRDefault="002F7828" w:rsidP="002F7828">
      <w:pPr>
        <w:numPr>
          <w:ilvl w:val="0"/>
          <w:numId w:val="1"/>
        </w:numPr>
        <w:shd w:val="clear" w:color="auto" w:fill="FFFFFF"/>
        <w:ind w:left="540"/>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shd w:val="clear" w:color="auto" w:fill="FFFFFF"/>
        </w:rPr>
        <w:t>6- 8 pages double-spaced;</w:t>
      </w:r>
    </w:p>
    <w:p w:rsidR="002F7828" w:rsidRPr="002F7828" w:rsidRDefault="002F7828" w:rsidP="002F7828">
      <w:pPr>
        <w:numPr>
          <w:ilvl w:val="0"/>
          <w:numId w:val="1"/>
        </w:numPr>
        <w:shd w:val="clear" w:color="auto" w:fill="FFFFFF"/>
        <w:ind w:left="540"/>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shd w:val="clear" w:color="auto" w:fill="FFFFFF"/>
        </w:rPr>
        <w:t xml:space="preserve">Discuss at least three of the course primary </w:t>
      </w:r>
      <w:proofErr w:type="gramStart"/>
      <w:r w:rsidRPr="002F7828">
        <w:rPr>
          <w:rFonts w:ascii="Arial" w:eastAsia="Times New Roman" w:hAnsi="Arial" w:cs="Arial"/>
          <w:color w:val="333333"/>
          <w:sz w:val="22"/>
          <w:szCs w:val="22"/>
          <w:shd w:val="clear" w:color="auto" w:fill="FFFFFF"/>
        </w:rPr>
        <w:t>texts;  you</w:t>
      </w:r>
      <w:proofErr w:type="gramEnd"/>
      <w:r w:rsidRPr="002F7828">
        <w:rPr>
          <w:rFonts w:ascii="Arial" w:eastAsia="Times New Roman" w:hAnsi="Arial" w:cs="Arial"/>
          <w:color w:val="333333"/>
          <w:sz w:val="22"/>
          <w:szCs w:val="22"/>
          <w:shd w:val="clear" w:color="auto" w:fill="FFFFFF"/>
        </w:rPr>
        <w:t xml:space="preserve"> can discuss more.</w:t>
      </w:r>
    </w:p>
    <w:p w:rsidR="002F7828" w:rsidRPr="002F7828" w:rsidRDefault="002F7828" w:rsidP="002F7828">
      <w:pPr>
        <w:numPr>
          <w:ilvl w:val="0"/>
          <w:numId w:val="1"/>
        </w:numPr>
        <w:shd w:val="clear" w:color="auto" w:fill="FFFFFF"/>
        <w:ind w:left="540"/>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shd w:val="clear" w:color="auto" w:fill="FFFFFF"/>
        </w:rPr>
        <w:t>Must cite at least 4 additional sources beyond the primary text:</w:t>
      </w:r>
    </w:p>
    <w:p w:rsidR="002F7828" w:rsidRPr="002F7828" w:rsidRDefault="002F7828" w:rsidP="002F7828">
      <w:pPr>
        <w:numPr>
          <w:ilvl w:val="0"/>
          <w:numId w:val="2"/>
        </w:numPr>
        <w:shd w:val="clear" w:color="auto" w:fill="FFFFFF"/>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shd w:val="clear" w:color="auto" w:fill="FFFFFF"/>
        </w:rPr>
        <w:t>Historical sources, i.e. read a chapter from a historical text by Howard Zinn (</w:t>
      </w:r>
      <w:r w:rsidRPr="002F7828">
        <w:rPr>
          <w:rFonts w:ascii="Arial" w:eastAsia="Times New Roman" w:hAnsi="Arial" w:cs="Arial"/>
          <w:color w:val="333333"/>
          <w:sz w:val="22"/>
          <w:szCs w:val="22"/>
          <w:u w:val="single"/>
          <w:shd w:val="clear" w:color="auto" w:fill="FFFFFF"/>
        </w:rPr>
        <w:t>A People’s History of the United States</w:t>
      </w:r>
      <w:r w:rsidRPr="002F7828">
        <w:rPr>
          <w:rFonts w:ascii="Arial" w:eastAsia="Times New Roman" w:hAnsi="Arial" w:cs="Arial"/>
          <w:color w:val="333333"/>
          <w:sz w:val="22"/>
          <w:szCs w:val="22"/>
          <w:shd w:val="clear" w:color="auto" w:fill="FFFFFF"/>
        </w:rPr>
        <w:t xml:space="preserve">, </w:t>
      </w:r>
      <w:r w:rsidRPr="002F7828">
        <w:rPr>
          <w:rFonts w:ascii="Arial" w:eastAsia="Times New Roman" w:hAnsi="Arial" w:cs="Arial"/>
          <w:color w:val="333333"/>
          <w:sz w:val="22"/>
          <w:szCs w:val="22"/>
          <w:u w:val="single"/>
          <w:shd w:val="clear" w:color="auto" w:fill="FFFFFF"/>
        </w:rPr>
        <w:t>The Twentieth Century</w:t>
      </w:r>
      <w:r w:rsidRPr="002F7828">
        <w:rPr>
          <w:rFonts w:ascii="Arial" w:eastAsia="Times New Roman" w:hAnsi="Arial" w:cs="Arial"/>
          <w:color w:val="333333"/>
          <w:sz w:val="22"/>
          <w:szCs w:val="22"/>
          <w:shd w:val="clear" w:color="auto" w:fill="FFFFFF"/>
        </w:rPr>
        <w:t>), or William H. Chafe (</w:t>
      </w:r>
      <w:r w:rsidRPr="002F7828">
        <w:rPr>
          <w:rFonts w:ascii="Arial" w:eastAsia="Times New Roman" w:hAnsi="Arial" w:cs="Arial"/>
          <w:color w:val="333333"/>
          <w:sz w:val="22"/>
          <w:szCs w:val="22"/>
          <w:u w:val="single"/>
          <w:shd w:val="clear" w:color="auto" w:fill="FFFFFF"/>
        </w:rPr>
        <w:t>The Unfinished Journey</w:t>
      </w:r>
      <w:r w:rsidRPr="002F7828">
        <w:rPr>
          <w:rFonts w:ascii="Arial" w:eastAsia="Times New Roman" w:hAnsi="Arial" w:cs="Arial"/>
          <w:color w:val="333333"/>
          <w:sz w:val="22"/>
          <w:szCs w:val="22"/>
          <w:shd w:val="clear" w:color="auto" w:fill="FFFFFF"/>
        </w:rPr>
        <w:t>);</w:t>
      </w:r>
    </w:p>
    <w:p w:rsidR="002F7828" w:rsidRPr="002F7828" w:rsidRDefault="002F7828" w:rsidP="002F7828">
      <w:pPr>
        <w:numPr>
          <w:ilvl w:val="0"/>
          <w:numId w:val="2"/>
        </w:numPr>
        <w:shd w:val="clear" w:color="auto" w:fill="FFFFFF"/>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shd w:val="clear" w:color="auto" w:fill="FFFFFF"/>
        </w:rPr>
        <w:t xml:space="preserve">Contextual materials, for example an article on Vietnam war protests and the Beat movement in a discussion of </w:t>
      </w:r>
      <w:r w:rsidRPr="002F7828">
        <w:rPr>
          <w:rFonts w:ascii="Arial" w:eastAsia="Times New Roman" w:hAnsi="Arial" w:cs="Arial"/>
          <w:color w:val="333333"/>
          <w:sz w:val="22"/>
          <w:szCs w:val="22"/>
          <w:u w:val="single"/>
          <w:shd w:val="clear" w:color="auto" w:fill="FFFFFF"/>
        </w:rPr>
        <w:t>Howl</w:t>
      </w:r>
      <w:r w:rsidRPr="002F7828">
        <w:rPr>
          <w:rFonts w:ascii="Arial" w:eastAsia="Times New Roman" w:hAnsi="Arial" w:cs="Arial"/>
          <w:color w:val="333333"/>
          <w:sz w:val="22"/>
          <w:szCs w:val="22"/>
          <w:shd w:val="clear" w:color="auto" w:fill="FFFFFF"/>
        </w:rPr>
        <w:t xml:space="preserve">; an article on shock therapy in relation to </w:t>
      </w:r>
      <w:r w:rsidRPr="002F7828">
        <w:rPr>
          <w:rFonts w:ascii="Arial" w:eastAsia="Times New Roman" w:hAnsi="Arial" w:cs="Arial"/>
          <w:color w:val="333333"/>
          <w:sz w:val="22"/>
          <w:szCs w:val="22"/>
          <w:u w:val="single"/>
          <w:shd w:val="clear" w:color="auto" w:fill="FFFFFF"/>
        </w:rPr>
        <w:t>Howl</w:t>
      </w:r>
      <w:r w:rsidRPr="002F7828">
        <w:rPr>
          <w:rFonts w:ascii="Arial" w:eastAsia="Times New Roman" w:hAnsi="Arial" w:cs="Arial"/>
          <w:color w:val="333333"/>
          <w:sz w:val="22"/>
          <w:szCs w:val="22"/>
          <w:shd w:val="clear" w:color="auto" w:fill="FFFFFF"/>
        </w:rPr>
        <w:t xml:space="preserve">, an article on the fall of Saigon in relation to </w:t>
      </w:r>
      <w:r w:rsidRPr="002F7828">
        <w:rPr>
          <w:rFonts w:ascii="Arial" w:eastAsia="Times New Roman" w:hAnsi="Arial" w:cs="Arial"/>
          <w:color w:val="333333"/>
          <w:sz w:val="22"/>
          <w:szCs w:val="22"/>
          <w:u w:val="single"/>
          <w:shd w:val="clear" w:color="auto" w:fill="FFFFFF"/>
        </w:rPr>
        <w:t>Democracy</w:t>
      </w:r>
      <w:r w:rsidRPr="002F7828">
        <w:rPr>
          <w:rFonts w:ascii="Arial" w:eastAsia="Times New Roman" w:hAnsi="Arial" w:cs="Arial"/>
          <w:color w:val="333333"/>
          <w:sz w:val="22"/>
          <w:szCs w:val="22"/>
          <w:shd w:val="clear" w:color="auto" w:fill="FFFFFF"/>
        </w:rPr>
        <w:t>;</w:t>
      </w:r>
    </w:p>
    <w:p w:rsidR="002F7828" w:rsidRPr="002F7828" w:rsidRDefault="002F7828" w:rsidP="002F7828">
      <w:pPr>
        <w:numPr>
          <w:ilvl w:val="0"/>
          <w:numId w:val="2"/>
        </w:numPr>
        <w:shd w:val="clear" w:color="auto" w:fill="FFFFFF"/>
        <w:textAlignment w:val="baseline"/>
        <w:rPr>
          <w:rFonts w:ascii="Arial" w:eastAsia="Times New Roman" w:hAnsi="Arial" w:cs="Arial"/>
          <w:color w:val="333333"/>
          <w:sz w:val="22"/>
          <w:szCs w:val="22"/>
        </w:rPr>
      </w:pPr>
      <w:r w:rsidRPr="002F7828">
        <w:rPr>
          <w:rFonts w:ascii="Arial" w:eastAsia="Times New Roman" w:hAnsi="Arial" w:cs="Arial"/>
          <w:b/>
          <w:bCs/>
          <w:color w:val="333333"/>
          <w:sz w:val="22"/>
          <w:szCs w:val="22"/>
          <w:shd w:val="clear" w:color="auto" w:fill="FFFFFF"/>
        </w:rPr>
        <w:t xml:space="preserve">AT LEAST ONE MUST BE: </w:t>
      </w:r>
      <w:r w:rsidRPr="002F7828">
        <w:rPr>
          <w:rFonts w:ascii="Arial" w:eastAsia="Times New Roman" w:hAnsi="Arial" w:cs="Arial"/>
          <w:color w:val="333333"/>
          <w:sz w:val="22"/>
          <w:szCs w:val="22"/>
          <w:shd w:val="clear" w:color="auto" w:fill="FFFFFF"/>
        </w:rPr>
        <w:t xml:space="preserve">Secondary materials: literary criticism, biographies, and letters: specific materials for each of the writers studied </w:t>
      </w:r>
      <w:r w:rsidRPr="002F7828">
        <w:rPr>
          <w:rFonts w:ascii="Arial" w:eastAsia="Times New Roman" w:hAnsi="Arial" w:cs="Arial"/>
          <w:b/>
          <w:bCs/>
          <w:color w:val="333333"/>
          <w:sz w:val="22"/>
          <w:szCs w:val="22"/>
          <w:shd w:val="clear" w:color="auto" w:fill="FFFFFF"/>
        </w:rPr>
        <w:t xml:space="preserve">(note that secondary materials do not include Cliff/Spark notes or similar </w:t>
      </w:r>
      <w:proofErr w:type="gramStart"/>
      <w:r w:rsidRPr="002F7828">
        <w:rPr>
          <w:rFonts w:ascii="Arial" w:eastAsia="Times New Roman" w:hAnsi="Arial" w:cs="Arial"/>
          <w:b/>
          <w:bCs/>
          <w:color w:val="333333"/>
          <w:sz w:val="22"/>
          <w:szCs w:val="22"/>
          <w:shd w:val="clear" w:color="auto" w:fill="FFFFFF"/>
        </w:rPr>
        <w:t>summary</w:t>
      </w:r>
      <w:proofErr w:type="gramEnd"/>
      <w:r w:rsidRPr="002F7828">
        <w:rPr>
          <w:rFonts w:ascii="Arial" w:eastAsia="Times New Roman" w:hAnsi="Arial" w:cs="Arial"/>
          <w:b/>
          <w:bCs/>
          <w:color w:val="333333"/>
          <w:sz w:val="22"/>
          <w:szCs w:val="22"/>
          <w:shd w:val="clear" w:color="auto" w:fill="FFFFFF"/>
        </w:rPr>
        <w:t xml:space="preserve"> or overview information obtained online)</w:t>
      </w:r>
      <w:r w:rsidRPr="002F7828">
        <w:rPr>
          <w:rFonts w:ascii="Arial" w:eastAsia="Times New Roman" w:hAnsi="Arial" w:cs="Arial"/>
          <w:color w:val="333333"/>
          <w:sz w:val="22"/>
          <w:szCs w:val="22"/>
          <w:shd w:val="clear" w:color="auto" w:fill="FFFFFF"/>
        </w:rPr>
        <w:t>;</w:t>
      </w:r>
    </w:p>
    <w:p w:rsidR="002F7828" w:rsidRPr="002F7828" w:rsidRDefault="002F7828" w:rsidP="002F7828">
      <w:pPr>
        <w:numPr>
          <w:ilvl w:val="0"/>
          <w:numId w:val="2"/>
        </w:numPr>
        <w:shd w:val="clear" w:color="auto" w:fill="FFFFFF"/>
        <w:spacing w:after="380"/>
        <w:textAlignment w:val="baseline"/>
        <w:rPr>
          <w:rFonts w:ascii="Arial" w:eastAsia="Times New Roman" w:hAnsi="Arial" w:cs="Arial"/>
          <w:color w:val="333333"/>
          <w:sz w:val="22"/>
          <w:szCs w:val="22"/>
        </w:rPr>
      </w:pPr>
      <w:r w:rsidRPr="002F7828">
        <w:rPr>
          <w:rFonts w:ascii="Arial" w:eastAsia="Times New Roman" w:hAnsi="Arial" w:cs="Arial"/>
          <w:b/>
          <w:bCs/>
          <w:color w:val="333333"/>
          <w:sz w:val="22"/>
          <w:szCs w:val="22"/>
          <w:shd w:val="clear" w:color="auto" w:fill="FFFFFF"/>
        </w:rPr>
        <w:t>AND ANOTHER MUST BE SECONDARY MATERIALS (ABOVE BULLET) OR:</w:t>
      </w:r>
      <w:r w:rsidRPr="002F7828">
        <w:rPr>
          <w:rFonts w:ascii="Arial" w:eastAsia="Times New Roman" w:hAnsi="Arial" w:cs="Arial"/>
          <w:color w:val="333333"/>
          <w:sz w:val="22"/>
          <w:szCs w:val="22"/>
          <w:shd w:val="clear" w:color="auto" w:fill="FFFFFF"/>
        </w:rPr>
        <w:t xml:space="preserve"> Theoretical sources, i.e. read a section of a philosophy, sociology, political or critical theory text and apply it to primary material. A good source of many essays on literary theory is:</w:t>
      </w:r>
    </w:p>
    <w:p w:rsidR="002F7828" w:rsidRPr="002F7828" w:rsidRDefault="002F7828" w:rsidP="002F7828">
      <w:pPr>
        <w:shd w:val="clear" w:color="auto" w:fill="FFFFFF"/>
        <w:spacing w:after="380"/>
        <w:ind w:left="720"/>
        <w:rPr>
          <w:rFonts w:ascii="Times New Roman" w:eastAsia="Times New Roman" w:hAnsi="Times New Roman" w:cs="Times New Roman"/>
        </w:rPr>
      </w:pPr>
      <w:proofErr w:type="spellStart"/>
      <w:r w:rsidRPr="002F7828">
        <w:rPr>
          <w:rFonts w:ascii="Arial" w:eastAsia="Times New Roman" w:hAnsi="Arial" w:cs="Arial"/>
          <w:color w:val="333333"/>
          <w:sz w:val="22"/>
          <w:szCs w:val="22"/>
          <w:shd w:val="clear" w:color="auto" w:fill="FFFFFF"/>
        </w:rPr>
        <w:t>Lenricchia</w:t>
      </w:r>
      <w:proofErr w:type="spellEnd"/>
      <w:r w:rsidRPr="002F7828">
        <w:rPr>
          <w:rFonts w:ascii="Arial" w:eastAsia="Times New Roman" w:hAnsi="Arial" w:cs="Arial"/>
          <w:color w:val="333333"/>
          <w:sz w:val="22"/>
          <w:szCs w:val="22"/>
          <w:shd w:val="clear" w:color="auto" w:fill="FFFFFF"/>
        </w:rPr>
        <w:t>, Frank and Thomas McLaughlin, eds.  </w:t>
      </w:r>
      <w:r w:rsidRPr="002F7828">
        <w:rPr>
          <w:rFonts w:ascii="Arial" w:eastAsia="Times New Roman" w:hAnsi="Arial" w:cs="Arial"/>
          <w:color w:val="333333"/>
          <w:sz w:val="22"/>
          <w:szCs w:val="22"/>
          <w:u w:val="single"/>
          <w:shd w:val="clear" w:color="auto" w:fill="FFFFFF"/>
        </w:rPr>
        <w:t>Critical Terms for Literary Study</w:t>
      </w:r>
      <w:r w:rsidRPr="002F7828">
        <w:rPr>
          <w:rFonts w:ascii="Arial" w:eastAsia="Times New Roman" w:hAnsi="Arial" w:cs="Arial"/>
          <w:color w:val="333333"/>
          <w:sz w:val="22"/>
          <w:szCs w:val="22"/>
          <w:shd w:val="clear" w:color="auto" w:fill="FFFFFF"/>
        </w:rPr>
        <w:t>.  Chicago: U of Chicago P, 1990.  Call Number PN81.C84 1990.</w:t>
      </w:r>
    </w:p>
    <w:p w:rsidR="002F7828" w:rsidRPr="002F7828" w:rsidRDefault="002F7828" w:rsidP="002F7828">
      <w:pPr>
        <w:numPr>
          <w:ilvl w:val="0"/>
          <w:numId w:val="3"/>
        </w:numPr>
        <w:shd w:val="clear" w:color="auto" w:fill="FFFFFF"/>
        <w:spacing w:after="380"/>
        <w:textAlignment w:val="baseline"/>
        <w:rPr>
          <w:rFonts w:ascii="Arial" w:eastAsia="Times New Roman" w:hAnsi="Arial" w:cs="Arial"/>
          <w:color w:val="333333"/>
          <w:sz w:val="22"/>
          <w:szCs w:val="22"/>
        </w:rPr>
      </w:pPr>
      <w:r w:rsidRPr="002F7828">
        <w:rPr>
          <w:rFonts w:ascii="Times New Roman" w:eastAsia="Times New Roman" w:hAnsi="Times New Roman" w:cs="Times New Roman"/>
          <w:color w:val="333333"/>
          <w:sz w:val="14"/>
          <w:szCs w:val="14"/>
          <w:shd w:val="clear" w:color="auto" w:fill="FFFFFF"/>
        </w:rPr>
        <w:t xml:space="preserve"> </w:t>
      </w:r>
      <w:r w:rsidRPr="002F7828">
        <w:rPr>
          <w:rFonts w:ascii="Arial" w:eastAsia="Times New Roman" w:hAnsi="Arial" w:cs="Arial"/>
          <w:color w:val="333333"/>
          <w:sz w:val="22"/>
          <w:szCs w:val="22"/>
          <w:shd w:val="clear" w:color="auto" w:fill="FFFFFF"/>
        </w:rPr>
        <w:t xml:space="preserve">You may cite </w:t>
      </w:r>
      <w:r w:rsidRPr="002F7828">
        <w:rPr>
          <w:rFonts w:ascii="Arial" w:eastAsia="Times New Roman" w:hAnsi="Arial" w:cs="Arial"/>
          <w:i/>
          <w:iCs/>
          <w:color w:val="333333"/>
          <w:sz w:val="22"/>
          <w:szCs w:val="22"/>
          <w:shd w:val="clear" w:color="auto" w:fill="FFFFFF"/>
        </w:rPr>
        <w:t>additional</w:t>
      </w:r>
      <w:r w:rsidRPr="002F7828">
        <w:rPr>
          <w:rFonts w:ascii="Arial" w:eastAsia="Times New Roman" w:hAnsi="Arial" w:cs="Arial"/>
          <w:color w:val="333333"/>
          <w:sz w:val="22"/>
          <w:szCs w:val="22"/>
          <w:shd w:val="clear" w:color="auto" w:fill="FFFFFF"/>
        </w:rPr>
        <w:t xml:space="preserve"> source(s) from cultural contexts such as media, film (including adaptations), song lyrics, television shows, news items, visual art, additional fiction or poetry by a particular author.</w:t>
      </w:r>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b/>
          <w:bCs/>
          <w:color w:val="333333"/>
          <w:sz w:val="22"/>
          <w:szCs w:val="22"/>
          <w:shd w:val="clear" w:color="auto" w:fill="FFFFFF"/>
        </w:rPr>
        <w:lastRenderedPageBreak/>
        <w:t xml:space="preserve"> </w:t>
      </w:r>
      <w:r w:rsidRPr="002F7828">
        <w:rPr>
          <w:rFonts w:ascii="Arial" w:eastAsia="Times New Roman" w:hAnsi="Arial" w:cs="Arial"/>
          <w:color w:val="333333"/>
          <w:sz w:val="22"/>
          <w:szCs w:val="22"/>
          <w:shd w:val="clear" w:color="auto" w:fill="FFFFFF"/>
        </w:rPr>
        <w:t>Format Requirement for Paper: MLA</w:t>
      </w:r>
    </w:p>
    <w:p w:rsidR="002F7828" w:rsidRPr="002F7828" w:rsidRDefault="002F7828" w:rsidP="002F7828">
      <w:pPr>
        <w:spacing w:before="260"/>
        <w:rPr>
          <w:rFonts w:ascii="Times New Roman" w:eastAsia="Times New Roman" w:hAnsi="Times New Roman" w:cs="Times New Roman"/>
        </w:rPr>
      </w:pPr>
      <w:r w:rsidRPr="002F7828">
        <w:rPr>
          <w:rFonts w:ascii="Arial" w:eastAsia="Times New Roman" w:hAnsi="Arial" w:cs="Arial"/>
          <w:color w:val="000000"/>
          <w:sz w:val="22"/>
          <w:szCs w:val="22"/>
          <w:shd w:val="clear" w:color="auto" w:fill="FFFFFF"/>
        </w:rPr>
        <w:t>Essential questions to consider:  </w:t>
      </w:r>
    </w:p>
    <w:p w:rsidR="002F7828" w:rsidRPr="002F7828" w:rsidRDefault="002F7828" w:rsidP="002F7828">
      <w:pPr>
        <w:numPr>
          <w:ilvl w:val="0"/>
          <w:numId w:val="4"/>
        </w:numPr>
        <w:shd w:val="clear" w:color="auto" w:fill="FFFFFF"/>
        <w:spacing w:before="260"/>
        <w:textAlignment w:val="baseline"/>
        <w:rPr>
          <w:rFonts w:ascii="Arial" w:eastAsia="Times New Roman" w:hAnsi="Arial" w:cs="Arial"/>
          <w:color w:val="000000"/>
          <w:sz w:val="22"/>
          <w:szCs w:val="22"/>
        </w:rPr>
      </w:pPr>
      <w:r w:rsidRPr="002F7828">
        <w:rPr>
          <w:rFonts w:ascii="Arial" w:eastAsia="Times New Roman" w:hAnsi="Arial" w:cs="Arial"/>
          <w:color w:val="000000"/>
          <w:sz w:val="22"/>
          <w:szCs w:val="22"/>
          <w:shd w:val="clear" w:color="auto" w:fill="FFFFFF"/>
        </w:rPr>
        <w:t xml:space="preserve">What does it mean to come of age? </w:t>
      </w:r>
    </w:p>
    <w:p w:rsidR="002F7828" w:rsidRPr="002F7828" w:rsidRDefault="002F7828" w:rsidP="002F7828">
      <w:pPr>
        <w:numPr>
          <w:ilvl w:val="0"/>
          <w:numId w:val="4"/>
        </w:numPr>
        <w:shd w:val="clear" w:color="auto" w:fill="FFFFFF"/>
        <w:textAlignment w:val="baseline"/>
        <w:rPr>
          <w:rFonts w:ascii="Arial" w:eastAsia="Times New Roman" w:hAnsi="Arial" w:cs="Arial"/>
          <w:color w:val="000000"/>
          <w:sz w:val="22"/>
          <w:szCs w:val="22"/>
        </w:rPr>
      </w:pPr>
      <w:r w:rsidRPr="002F7828">
        <w:rPr>
          <w:rFonts w:ascii="Arial" w:eastAsia="Times New Roman" w:hAnsi="Arial" w:cs="Arial"/>
          <w:color w:val="000000"/>
          <w:sz w:val="22"/>
          <w:szCs w:val="22"/>
          <w:shd w:val="clear" w:color="auto" w:fill="FFFFFF"/>
        </w:rPr>
        <w:t xml:space="preserve">Is coming of age a process or an event? </w:t>
      </w:r>
    </w:p>
    <w:p w:rsidR="002F7828" w:rsidRPr="002F7828" w:rsidRDefault="002F7828" w:rsidP="002F7828">
      <w:pPr>
        <w:numPr>
          <w:ilvl w:val="0"/>
          <w:numId w:val="4"/>
        </w:numPr>
        <w:shd w:val="clear" w:color="auto" w:fill="FFFFFF"/>
        <w:textAlignment w:val="baseline"/>
        <w:rPr>
          <w:rFonts w:ascii="Arial" w:eastAsia="Times New Roman" w:hAnsi="Arial" w:cs="Arial"/>
          <w:color w:val="000000"/>
          <w:sz w:val="22"/>
          <w:szCs w:val="22"/>
        </w:rPr>
      </w:pPr>
      <w:r w:rsidRPr="002F7828">
        <w:rPr>
          <w:rFonts w:ascii="Arial" w:eastAsia="Times New Roman" w:hAnsi="Arial" w:cs="Arial"/>
          <w:color w:val="000000"/>
          <w:sz w:val="22"/>
          <w:szCs w:val="22"/>
          <w:shd w:val="clear" w:color="auto" w:fill="FFFFFF"/>
        </w:rPr>
        <w:t>What about coming of age is universal (true for everyone, everywhere) and depends on context (who/where/when/ you are)</w:t>
      </w:r>
    </w:p>
    <w:p w:rsidR="002F7828" w:rsidRPr="002F7828" w:rsidRDefault="002F7828" w:rsidP="002F7828">
      <w:pPr>
        <w:numPr>
          <w:ilvl w:val="0"/>
          <w:numId w:val="4"/>
        </w:numPr>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rPr>
        <w:t xml:space="preserve">Do the characters make peace with the realities of the outer world? </w:t>
      </w:r>
    </w:p>
    <w:p w:rsidR="002F7828" w:rsidRPr="002F7828" w:rsidRDefault="002F7828" w:rsidP="002F7828">
      <w:pPr>
        <w:numPr>
          <w:ilvl w:val="0"/>
          <w:numId w:val="4"/>
        </w:numPr>
        <w:textAlignment w:val="baseline"/>
        <w:rPr>
          <w:rFonts w:ascii="Arial" w:eastAsia="Times New Roman" w:hAnsi="Arial" w:cs="Arial"/>
          <w:color w:val="333333"/>
          <w:sz w:val="22"/>
          <w:szCs w:val="22"/>
        </w:rPr>
      </w:pPr>
      <w:r w:rsidRPr="002F7828">
        <w:rPr>
          <w:rFonts w:ascii="Arial" w:eastAsia="Times New Roman" w:hAnsi="Arial" w:cs="Arial"/>
          <w:color w:val="333333"/>
          <w:sz w:val="22"/>
          <w:szCs w:val="22"/>
        </w:rPr>
        <w:t xml:space="preserve">Did the family or the society change and become more accepting? </w:t>
      </w:r>
    </w:p>
    <w:p w:rsidR="002F7828" w:rsidRPr="002F7828" w:rsidRDefault="002F7828" w:rsidP="002F7828">
      <w:pPr>
        <w:rPr>
          <w:rFonts w:ascii="Times New Roman" w:eastAsia="Times New Roman" w:hAnsi="Times New Roman" w:cs="Times New Roman"/>
        </w:rPr>
      </w:pPr>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333333"/>
          <w:sz w:val="22"/>
          <w:szCs w:val="22"/>
        </w:rPr>
        <w:t xml:space="preserve">“The protagonist in fictional coming of age stories often feels like an outsider.  These adolescent characters realize that </w:t>
      </w:r>
      <w:proofErr w:type="gramStart"/>
      <w:r w:rsidRPr="002F7828">
        <w:rPr>
          <w:rFonts w:ascii="Arial" w:eastAsia="Times New Roman" w:hAnsi="Arial" w:cs="Arial"/>
          <w:color w:val="333333"/>
          <w:sz w:val="22"/>
          <w:szCs w:val="22"/>
        </w:rPr>
        <w:t>they  have</w:t>
      </w:r>
      <w:proofErr w:type="gramEnd"/>
      <w:r w:rsidRPr="002F7828">
        <w:rPr>
          <w:rFonts w:ascii="Arial" w:eastAsia="Times New Roman" w:hAnsi="Arial" w:cs="Arial"/>
          <w:color w:val="333333"/>
          <w:sz w:val="22"/>
          <w:szCs w:val="22"/>
        </w:rPr>
        <w:t xml:space="preserve"> both an inner and an outer life and that the two cannot always be reconciled. Many novels focus on a young person’s struggle between society and their understanding of the world. The protagonist in these stories holds to something in his inner life–a dream, a conviction, a quest, a desire, a quality of self-that he believes to be essential to him, so that he can’t afford to give it up or give in, no matter how much pressure or ridicule he may experience from others, sometimes very powerful others, who claim to know better for him or at least know better about how the world works. The </w:t>
      </w:r>
      <w:proofErr w:type="gramStart"/>
      <w:r w:rsidRPr="002F7828">
        <w:rPr>
          <w:rFonts w:ascii="Arial" w:eastAsia="Times New Roman" w:hAnsi="Arial" w:cs="Arial"/>
          <w:color w:val="333333"/>
          <w:sz w:val="22"/>
          <w:szCs w:val="22"/>
        </w:rPr>
        <w:t>character  is</w:t>
      </w:r>
      <w:proofErr w:type="gramEnd"/>
      <w:r w:rsidRPr="002F7828">
        <w:rPr>
          <w:rFonts w:ascii="Arial" w:eastAsia="Times New Roman" w:hAnsi="Arial" w:cs="Arial"/>
          <w:color w:val="333333"/>
          <w:sz w:val="22"/>
          <w:szCs w:val="22"/>
        </w:rPr>
        <w:t xml:space="preserve"> tempted and discouraged along the way, and  may sustain great losses, but gradually finds the courage to be true to himself. His courage allows him to persist in bringing that essential something forward with him.”</w:t>
      </w:r>
    </w:p>
    <w:p w:rsidR="002F7828" w:rsidRPr="002F7828" w:rsidRDefault="002F7828" w:rsidP="002F7828">
      <w:pPr>
        <w:shd w:val="clear" w:color="auto" w:fill="FFFFFF"/>
        <w:spacing w:after="380"/>
        <w:rPr>
          <w:rFonts w:ascii="Times New Roman" w:eastAsia="Times New Roman" w:hAnsi="Times New Roman" w:cs="Times New Roman"/>
        </w:rPr>
      </w:pPr>
      <w:r w:rsidRPr="002F7828">
        <w:rPr>
          <w:rFonts w:ascii="Arial" w:eastAsia="Times New Roman" w:hAnsi="Arial" w:cs="Arial"/>
          <w:color w:val="333333"/>
          <w:sz w:val="21"/>
          <w:szCs w:val="21"/>
        </w:rPr>
        <w:t xml:space="preserve">Cowing, Sue. "Some Thoughts on “Coming-of-Age” Novels." </w:t>
      </w:r>
      <w:r w:rsidRPr="002F7828">
        <w:rPr>
          <w:rFonts w:ascii="Arial" w:eastAsia="Times New Roman" w:hAnsi="Arial" w:cs="Arial"/>
          <w:i/>
          <w:iCs/>
          <w:color w:val="333333"/>
          <w:sz w:val="21"/>
          <w:szCs w:val="21"/>
        </w:rPr>
        <w:t>From the Mixed-Up Files...</w:t>
      </w:r>
      <w:proofErr w:type="spellStart"/>
      <w:r w:rsidRPr="002F7828">
        <w:rPr>
          <w:rFonts w:ascii="Arial" w:eastAsia="Times New Roman" w:hAnsi="Arial" w:cs="Arial"/>
          <w:color w:val="333333"/>
          <w:sz w:val="21"/>
          <w:szCs w:val="21"/>
        </w:rPr>
        <w:t>Wordpress</w:t>
      </w:r>
      <w:proofErr w:type="spellEnd"/>
      <w:r w:rsidRPr="002F7828">
        <w:rPr>
          <w:rFonts w:ascii="Arial" w:eastAsia="Times New Roman" w:hAnsi="Arial" w:cs="Arial"/>
          <w:color w:val="333333"/>
          <w:sz w:val="21"/>
          <w:szCs w:val="21"/>
        </w:rPr>
        <w:t>., 15 Oct. 2012. Web. 01 June 2017.</w:t>
      </w:r>
    </w:p>
    <w:p w:rsidR="002F7828" w:rsidRPr="002F7828" w:rsidRDefault="002F7828" w:rsidP="002F7828">
      <w:pPr>
        <w:rPr>
          <w:rFonts w:ascii="Times New Roman" w:eastAsia="Times New Roman" w:hAnsi="Times New Roman" w:cs="Times New Roman"/>
        </w:rPr>
      </w:pPr>
    </w:p>
    <w:p w:rsidR="002F7828" w:rsidRDefault="002F7828"/>
    <w:sectPr w:rsidR="002F7828" w:rsidSect="00667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F23E25"/>
    <w:multiLevelType w:val="multilevel"/>
    <w:tmpl w:val="A24CD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B35411"/>
    <w:multiLevelType w:val="multilevel"/>
    <w:tmpl w:val="8A60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713E7D"/>
    <w:multiLevelType w:val="multilevel"/>
    <w:tmpl w:val="DF3C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193BE4"/>
    <w:multiLevelType w:val="multilevel"/>
    <w:tmpl w:val="A384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28"/>
    <w:rsid w:val="002F7828"/>
    <w:rsid w:val="006676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4F9DBDC"/>
  <w15:chartTrackingRefBased/>
  <w15:docId w15:val="{25348AA9-1040-BE4A-8FA3-0F62B657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82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17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Alshammari</dc:creator>
  <cp:keywords/>
  <dc:description/>
  <cp:lastModifiedBy>Abdullah Alshammari</cp:lastModifiedBy>
  <cp:revision>1</cp:revision>
  <dcterms:created xsi:type="dcterms:W3CDTF">2018-12-02T20:56:00Z</dcterms:created>
  <dcterms:modified xsi:type="dcterms:W3CDTF">2018-12-02T20:58:00Z</dcterms:modified>
</cp:coreProperties>
</file>